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2025년 건축·산업환경설비공사 원가계산 간접공사비(제비율) 적용기준</w:t>
      </w:r>
    </w:p>
    <w:p>
      <w:pPr>
        <w:pStyle w:val="infoBox"/>
      </w:pPr>
      <w:r>
        <w:rPr>
          <w:b/>
          <w:bCs/>
        </w:rPr>
        <w:t xml:space="preserve">📅 적용시기: </w:t>
      </w:r>
      <w:r>
        <w:t xml:space="preserve">2025. 08. 09. 입찰공고분부터</w:t>
      </w:r>
    </w:p>
    <w:p>
      <w:pPr>
        <w:pStyle w:val="infoBox"/>
      </w:pPr>
      <w:r>
        <w:rPr>
          <w:b/>
          <w:bCs/>
        </w:rPr>
        <w:t xml:space="preserve">📋 참고사항: </w:t>
      </w:r>
      <w:r>
        <w:t xml:space="preserve">간접노무비율, 기타경비율, 일반관리비율, 이윤율, 공사이행보증수수료율은 조달청 분석요율임</w:t>
      </w:r>
    </w:p>
    <w:p>
      <w:pPr>
        <w:spacing w:before="360" w:after="120"/>
      </w:pPr>
      <w:r>
        <w:t xml:space="preserve"/>
      </w:r>
    </w:p>
    <w:p>
      <w:pPr>
        <w:pStyle w:val="Heading1"/>
      </w:pPr>
      <w:r>
        <w:t xml:space="preserve">목차</w:t>
      </w:r>
    </w:p>
    <w:p>
      <w:pPr>
        <w:pStyle w:val="ListParagraph"/>
        <w:numPr>
          <w:ilvl w:val="0"/>
          <w:numId w:val="2"/>
        </w:numPr>
      </w:pPr>
      <w:r>
        <w:t xml:space="preserve">1. 간접노무비율</w:t>
      </w:r>
    </w:p>
    <w:p>
      <w:pPr>
        <w:pStyle w:val="ListParagraph"/>
        <w:numPr>
          <w:ilvl w:val="0"/>
          <w:numId w:val="2"/>
        </w:numPr>
      </w:pPr>
      <w:r>
        <w:t xml:space="preserve">2. 기타경비율</w:t>
      </w:r>
    </w:p>
    <w:p>
      <w:pPr>
        <w:pStyle w:val="ListParagraph"/>
        <w:numPr>
          <w:ilvl w:val="0"/>
          <w:numId w:val="2"/>
        </w:numPr>
      </w:pPr>
      <w:r>
        <w:t xml:space="preserve">3. 일반관리비율</w:t>
      </w:r>
    </w:p>
    <w:p>
      <w:pPr>
        <w:pStyle w:val="ListParagraph"/>
        <w:numPr>
          <w:ilvl w:val="0"/>
          <w:numId w:val="2"/>
        </w:numPr>
      </w:pPr>
      <w:r>
        <w:t xml:space="preserve">4. 이윤율</w:t>
      </w:r>
    </w:p>
    <w:p>
      <w:pPr>
        <w:pStyle w:val="ListParagraph"/>
        <w:numPr>
          <w:ilvl w:val="0"/>
          <w:numId w:val="2"/>
        </w:numPr>
      </w:pPr>
      <w:r>
        <w:t xml:space="preserve">5. 산업안전보건관리비</w:t>
      </w:r>
    </w:p>
    <w:p>
      <w:r>
        <w:br w:type="page"/>
      </w:r>
    </w:p>
    <w:p>
      <w:pPr>
        <w:pStyle w:val="Heading1"/>
      </w:pPr>
      <w:r>
        <w:t xml:space="preserve">1. 간접노무비율</w:t>
      </w:r>
    </w:p>
    <w:p>
      <w:pPr>
        <w:spacing w:after="120"/>
      </w:pPr>
      <w:r>
        <w:t xml:space="preserve">공사규모와 공사기간에 따른 간접노무비율입니다. (직접노무비) × 요율로 계산됩니다.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3100"/>
        <w:gridCol w:w="1730"/>
        <w:gridCol w:w="173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공사규모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공사기간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건축(%)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산업설비(%)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6개월 이하 (183일)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7~12개월 (365일)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15.2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15.2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13~36개월 (1095일)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15.4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15.4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36개월 초과 (1096일)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16.2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16.2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10억-50억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6개월 이하 (183일)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14.7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14.7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10억-50억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7~12개월 (365일)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14.9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14.9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10억-50억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13~36개월 (1095일)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15.1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15.1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10억-50억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36개월 초과 (1096일)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16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50억-100억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6개월 이하 (183일)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14.4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14.4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50억-100억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7~12개월 (365일)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14.6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50억-100억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13~36개월 (1095일)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14.8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14.8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50억-100억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36개월 초과 (1096일)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15.7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15.7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100억 이상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6개월 이하 (183일)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14.1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14.1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100억 이상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7~12개월 (365일)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14.3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14.3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100억 이상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13~36개월 (1095일)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14.5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14.5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100억 이상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36개월 초과 (1096일)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15.4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15.4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기타경비율</w:t>
      </w:r>
    </w:p>
    <w:p>
      <w:pPr>
        <w:spacing w:after="120"/>
      </w:pPr>
      <w:r>
        <w:t xml:space="preserve">공사규모와 공사기간에 따른 기타경비율입니다. (재료비 + 노무비) × 요율로 계산됩니다.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3100"/>
        <w:gridCol w:w="1730"/>
        <w:gridCol w:w="173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0AD47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공사규모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0AD47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공사기간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0AD47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건축(%)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0AD47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산업설비(%)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6개월 이하 (183일)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4.6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7~12개월 (365일)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4.7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4.7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13~36개월 (1095일)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36개월 초과 (1096일)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5.5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5.5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10억-50억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6개월 이하 (183일)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4.7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4.7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10억-50억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7~12개월 (365일)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4.8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4.8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10억-50억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13~36개월 (1095일)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5.1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5.1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10억-50억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36개월 초과 (1096일)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5.6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50억-100억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6개월 이하 (183일)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4.9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4.9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50억-100억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7~12개월 (365일)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50억-100억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13~36개월 (1095일)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5.3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5.3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50억-100억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36개월 초과 (1096일)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5.8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5.8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100억 이상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6개월 이하 (183일)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5.1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5.1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100억 이상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7~12개월 (365일)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5.2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5.2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100억 이상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13~36개월 (1095일)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5.5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5.5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100억 이상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36개월 초과 (1096일)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일반관리비율</w:t>
      </w:r>
    </w:p>
    <w:p>
      <w:pPr>
        <w:spacing w:after="120"/>
      </w:pPr>
      <w:r>
        <w:t xml:space="preserve">추정가격(공사규모)에 따른 일반관리비율입니다. (재료비 + 노무비 + 경비) × 요율로 계산됩니다.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3900"/>
        <w:gridCol w:w="2780"/>
        <w:gridCol w:w="2680"/>
      </w:tblGrid>
      <w:tr>
        <w:trPr>
          <w:tblHeader/>
        </w:trPr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C00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공사규모 (추정가격)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C00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건축, 산업설비(%)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C00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전문·전기·통신 등(%)</w:t>
            </w:r>
          </w:p>
        </w:tc>
      </w:tr>
      <w:tr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5억 미만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</w:t>
            </w:r>
          </w:p>
        </w:tc>
      </w:tr>
      <w:tr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5억-10억 미만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</w:t>
            </w:r>
          </w:p>
        </w:tc>
      </w:tr>
      <w:tr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10억-50억 미만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</w:t>
            </w:r>
          </w:p>
        </w:tc>
      </w:tr>
      <w:tr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50억-100억 미만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5.5</w:t>
            </w:r>
          </w:p>
        </w:tc>
      </w:tr>
      <w:tr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100억-300억 미만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4.5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</w:t>
            </w:r>
          </w:p>
        </w:tc>
      </w:tr>
      <w:tr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300억-500억 미만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4.5</w:t>
            </w:r>
          </w:p>
        </w:tc>
      </w:tr>
      <w:tr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500억-1000억 미만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3.5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</w:t>
            </w:r>
          </w:p>
        </w:tc>
      </w:tr>
      <w:tr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1000억 이상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3.5</w:t>
            </w:r>
          </w:p>
        </w:tc>
      </w:tr>
    </w:tbl>
    <w:p>
      <w:pPr>
        <w:spacing w:before="240" w:after="0"/>
      </w:pPr>
      <w:r>
        <w:t xml:space="preserve"/>
      </w:r>
    </w:p>
    <w:p>
      <w:pPr>
        <w:pStyle w:val="Heading1"/>
      </w:pPr>
      <w:r>
        <w:t xml:space="preserve">4. 이윤율</w:t>
      </w:r>
    </w:p>
    <w:p>
      <w:pPr>
        <w:spacing w:after="120"/>
      </w:pPr>
      <w:r>
        <w:t xml:space="preserve">공사 분류에 따른 이윤율입니다. (노무비 + 경비 + 일반관리비) × 요율로 계산됩니다.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6240"/>
        <w:gridCol w:w="3120"/>
      </w:tblGrid>
      <w:tr>
        <w:trPr>
          <w:tblHeader/>
        </w:trP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분류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요율 (%)</w:t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건축, 산업설비(건축)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15</w:t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전문·전기·통신·소방·기타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15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5. 산업안전보건관리비</w:t>
      </w:r>
    </w:p>
    <w:p>
      <w:pPr>
        <w:spacing w:after="120"/>
      </w:pPr>
      <w:r>
        <w:t xml:space="preserve">공사구분과 대상액에 따른 산업안전보건관리비 산정 기준입니다.</w:t>
      </w:r>
    </w:p>
    <w:p>
      <w:pPr>
        <w:pStyle w:val="Heading2"/>
      </w:pPr>
      <w:r>
        <w:t xml:space="preserve">5.1 건축공사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5B9BD5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대상액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5B9BD5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종합건설업 요율(%)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5B9BD5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종합 기초액(천원)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5B9BD5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전문건설업 요율(%)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5억 미만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0.07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-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3.11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5억-50억 미만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1.86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2850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2.15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 이상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1.97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2300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2.44</w:t>
            </w:r>
          </w:p>
        </w:tc>
      </w:tr>
    </w:tbl>
    <w:p>
      <w:pPr>
        <w:pStyle w:val="Heading2"/>
        <w:spacing w:before="240"/>
      </w:pPr>
      <w:r>
        <w:t xml:space="preserve">5.2 비계·구조물해체공사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7D31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대상액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7D31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종합건설업 요율(%)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7D31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기초액(천원)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5억 미만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0.68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-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5억-50억 미만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2.42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28900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 이상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2.42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28900</w:t>
            </w:r>
          </w:p>
        </w:tc>
      </w:tr>
    </w:tbl>
    <w:p>
      <w:pPr>
        <w:spacing w:before="360"/>
      </w:pPr>
      <w:r>
        <w:t xml:space="preserve"/>
      </w:r>
    </w:p>
    <w:p>
      <w:r>
        <w:rPr>
          <w:b/>
          <w:bCs/>
        </w:rPr>
        <w:t xml:space="preserve">💡 참고: </w:t>
      </w:r>
      <w:r>
        <w:t xml:space="preserve">도급자관급 포함 공사의 경우 별도 계산식이 적용됩니다. 자세한 내용은 관련 규정을 참조하시기 바랍니다.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240" w:after="240"/>
      <w:jc w:val="center"/>
    </w:pPr>
    <w:rPr>
      <w:rFonts w:ascii="Arial" w:cs="Arial" w:eastAsia="Arial" w:hAnsi="Arial"/>
      <w:b/>
      <w:bCs/>
      <w:color w:val="1F4E78"/>
      <w:sz w:val="52"/>
      <w:szCs w:val="52"/>
    </w:rPr>
  </w:style>
  <w:style w:type="paragraph" w:styleId="Heading1">
    <w:name w:val="Heading 1"/>
    <w:basedOn w:val="Normal"/>
    <w:next w:val="Normal"/>
    <w:qFormat/>
    <w:pPr>
      <w:spacing w:before="320" w:after="160"/>
      <w:outlineLvl w:val="0"/>
    </w:pPr>
    <w:rPr>
      <w:rFonts w:ascii="Arial" w:cs="Arial" w:eastAsia="Arial" w:hAnsi="Arial"/>
      <w:b/>
      <w:bCs/>
      <w:color w:val="2E5C8A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40" w:after="140"/>
      <w:outlineLvl w:val="1"/>
    </w:pPr>
    <w:rPr>
      <w:rFonts w:ascii="Arial" w:cs="Arial" w:eastAsia="Arial" w:hAnsi="Arial"/>
      <w:b/>
      <w:bCs/>
      <w:color w:val="2E5C8A"/>
      <w:sz w:val="28"/>
      <w:szCs w:val="28"/>
    </w:rPr>
  </w:style>
  <w:style w:type="paragraph" w:styleId="infoBox">
    <w:name w:val="Info Box"/>
    <w:basedOn w:val="Normal"/>
    <w:pPr>
      <w:spacing w:before="120" w:after="120"/>
      <w:ind w:left="360"/>
    </w:pPr>
    <w:rPr>
      <w:color w:val="000000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2025-10-24T08:10:45.776Z</dcterms:created>
  <dcterms:modified xsi:type="dcterms:W3CDTF">2025-10-24T08:10:45.777Z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